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F8" w:rsidRPr="00F309F8" w:rsidRDefault="00AC516F" w:rsidP="00AC516F">
      <w:pPr>
        <w:spacing w:after="0"/>
        <w:rPr>
          <w:rFonts w:ascii="Bahnschrift" w:eastAsia="Bahnschrift" w:hAnsi="Bahnschrift" w:cs="Bahnschrift"/>
          <w:color w:val="000000"/>
          <w:sz w:val="68"/>
          <w:lang w:val="es-419" w:eastAsia="es-419"/>
        </w:rPr>
      </w:pPr>
      <w:bookmarkStart w:id="0" w:name="_GoBack"/>
      <w:bookmarkEnd w:id="0"/>
      <w:r w:rsidRPr="00AC516F">
        <w:rPr>
          <w:rFonts w:ascii="Bahnschrift" w:eastAsia="Bahnschrift" w:hAnsi="Bahnschrift" w:cs="Bahnschrift"/>
          <w:color w:val="000000"/>
          <w:sz w:val="68"/>
          <w:lang w:val="es-419" w:eastAsia="es-419"/>
        </w:rPr>
        <w:t xml:space="preserve">Seminario de Química Orgánica </w:t>
      </w:r>
    </w:p>
    <w:p w:rsidR="00AC516F" w:rsidRPr="00AC516F" w:rsidRDefault="00AC516F" w:rsidP="00AC516F">
      <w:pPr>
        <w:keepNext/>
        <w:keepLines/>
        <w:spacing w:after="0"/>
        <w:ind w:right="178"/>
        <w:jc w:val="center"/>
        <w:outlineLvl w:val="0"/>
        <w:rPr>
          <w:rFonts w:ascii="Bahnschrift" w:eastAsia="Bahnschrift" w:hAnsi="Bahnschrift" w:cs="Bahnschrift"/>
          <w:color w:val="000000"/>
          <w:sz w:val="40"/>
          <w:lang w:val="es-419" w:eastAsia="es-419"/>
        </w:rPr>
      </w:pPr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Miércoles </w:t>
      </w:r>
      <w:r w:rsidR="005C2C87">
        <w:rPr>
          <w:rFonts w:ascii="Bahnschrift" w:eastAsia="Bahnschrift" w:hAnsi="Bahnschrift" w:cs="Bahnschrift"/>
          <w:color w:val="000000"/>
          <w:sz w:val="40"/>
          <w:lang w:val="es-419" w:eastAsia="es-419"/>
        </w:rPr>
        <w:t>30 de agosto</w:t>
      </w:r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 de 2023, </w:t>
      </w:r>
      <w:r w:rsidR="00C623D4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13 </w:t>
      </w:r>
      <w:proofErr w:type="spellStart"/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>h</w:t>
      </w:r>
      <w:r w:rsidR="00C623D4">
        <w:rPr>
          <w:rFonts w:ascii="Bahnschrift" w:eastAsia="Bahnschrift" w:hAnsi="Bahnschrift" w:cs="Bahnschrift"/>
          <w:color w:val="000000"/>
          <w:sz w:val="40"/>
          <w:lang w:val="es-419" w:eastAsia="es-419"/>
        </w:rPr>
        <w:t>s</w:t>
      </w:r>
      <w:proofErr w:type="spellEnd"/>
      <w:r w:rsidR="00C623D4">
        <w:rPr>
          <w:rFonts w:ascii="Bahnschrift" w:eastAsia="Bahnschrift" w:hAnsi="Bahnschrift" w:cs="Bahnschrift"/>
          <w:color w:val="000000"/>
          <w:sz w:val="40"/>
          <w:lang w:val="es-419" w:eastAsia="es-419"/>
        </w:rPr>
        <w:t>.</w:t>
      </w:r>
      <w:r w:rsidRPr="00AC516F">
        <w:rPr>
          <w:rFonts w:ascii="Bahnschrift" w:eastAsia="Bahnschrift" w:hAnsi="Bahnschrift" w:cs="Bahnschrift"/>
          <w:color w:val="000000"/>
          <w:sz w:val="40"/>
          <w:lang w:val="es-419" w:eastAsia="es-419"/>
        </w:rPr>
        <w:t xml:space="preserve"> </w:t>
      </w:r>
    </w:p>
    <w:p w:rsidR="00AC516F" w:rsidRPr="00AC516F" w:rsidRDefault="00AC516F" w:rsidP="00AC516F">
      <w:pPr>
        <w:spacing w:after="0"/>
        <w:ind w:right="171"/>
        <w:jc w:val="center"/>
        <w:rPr>
          <w:rFonts w:ascii="Calibri" w:eastAsia="Calibri" w:hAnsi="Calibri" w:cs="Calibri"/>
          <w:color w:val="000000"/>
          <w:sz w:val="28"/>
          <w:lang w:val="es-419" w:eastAsia="es-419"/>
        </w:rPr>
      </w:pPr>
      <w:r w:rsidRPr="00AC516F">
        <w:rPr>
          <w:rFonts w:ascii="Bahnschrift" w:eastAsia="Bahnschrift" w:hAnsi="Bahnschrift" w:cs="Bahnschrift"/>
          <w:color w:val="2F2F2F"/>
          <w:lang w:val="es-419" w:eastAsia="es-419"/>
        </w:rPr>
        <w:t xml:space="preserve"> </w:t>
      </w:r>
      <w:r w:rsidRPr="00AC516F">
        <w:rPr>
          <w:rFonts w:ascii="Calibri" w:eastAsia="Calibri" w:hAnsi="Calibri" w:cs="Calibri"/>
          <w:color w:val="000000"/>
          <w:lang w:val="es-419" w:eastAsia="es-419"/>
        </w:rPr>
        <w:t xml:space="preserve">AULA SEMINARIO </w:t>
      </w:r>
      <w:hyperlink r:id="rId4">
        <w:r w:rsidRPr="00AC516F">
          <w:rPr>
            <w:rFonts w:ascii="Calibri" w:eastAsia="Calibri" w:hAnsi="Calibri" w:cs="Calibri"/>
            <w:color w:val="000000"/>
            <w:lang w:val="es-419" w:eastAsia="es-419"/>
          </w:rPr>
          <w:t>DQO – 3º piso – PAB. II – CIUDAD</w:t>
        </w:r>
      </w:hyperlink>
      <w:r w:rsidRPr="00AC516F">
        <w:rPr>
          <w:rFonts w:ascii="Calibri" w:eastAsia="Calibri" w:hAnsi="Calibri" w:cs="Calibri"/>
          <w:color w:val="000000"/>
          <w:lang w:val="es-419" w:eastAsia="es-419"/>
        </w:rPr>
        <w:t xml:space="preserve"> UNIVERSITARIA</w:t>
      </w:r>
      <w:r w:rsidRPr="00AC516F">
        <w:rPr>
          <w:rFonts w:ascii="Bahnschrift" w:eastAsia="Bahnschrift" w:hAnsi="Bahnschrift" w:cs="Bahnschrift"/>
          <w:color w:val="000000"/>
          <w:lang w:val="es-419" w:eastAsia="es-419"/>
        </w:rPr>
        <w:t xml:space="preserve"> </w:t>
      </w:r>
    </w:p>
    <w:p w:rsidR="00AC516F" w:rsidRDefault="00AC516F" w:rsidP="009153FE">
      <w:pPr>
        <w:spacing w:after="0"/>
        <w:ind w:right="171"/>
        <w:jc w:val="center"/>
        <w:rPr>
          <w:rFonts w:ascii="Calibri" w:eastAsia="Calibri" w:hAnsi="Calibri" w:cs="Calibri"/>
          <w:color w:val="000000"/>
          <w:sz w:val="18"/>
          <w:lang w:val="es-419" w:eastAsia="es-419"/>
        </w:rPr>
      </w:pPr>
      <w:r w:rsidRPr="00AC516F">
        <w:rPr>
          <w:rFonts w:ascii="Calibri" w:eastAsia="Calibri" w:hAnsi="Calibri" w:cs="Calibri"/>
          <w:color w:val="000000"/>
          <w:sz w:val="18"/>
          <w:lang w:val="es-419" w:eastAsia="es-419"/>
        </w:rPr>
        <w:t xml:space="preserve">AULA VIRTUAL DQO: https://zoom.us/my/qo.aula01 - Clave: exactas20 </w:t>
      </w:r>
    </w:p>
    <w:p w:rsidR="00A453EB" w:rsidRPr="00E64E15" w:rsidRDefault="00C623D4" w:rsidP="009153FE">
      <w:pPr>
        <w:spacing w:after="120"/>
        <w:ind w:right="171"/>
        <w:jc w:val="center"/>
        <w:rPr>
          <w:sz w:val="16"/>
          <w:szCs w:val="16"/>
        </w:rPr>
      </w:pPr>
      <w:r w:rsidRPr="00C623D4">
        <w:rPr>
          <w:rFonts w:ascii="Arial" w:hAnsi="Arial" w:cs="Arial"/>
          <w:color w:val="333333"/>
          <w:sz w:val="16"/>
          <w:szCs w:val="16"/>
          <w:shd w:val="clear" w:color="auto" w:fill="FFFFFF"/>
        </w:rPr>
        <w:t>La charla se transmitirá en vivo:</w:t>
      </w:r>
      <w:r w:rsidRPr="00C623D4">
        <w:rPr>
          <w:rFonts w:ascii="Arial" w:hAnsi="Arial" w:cs="Arial"/>
          <w:color w:val="333333"/>
          <w:sz w:val="16"/>
          <w:szCs w:val="16"/>
        </w:rPr>
        <w:br/>
      </w:r>
      <w:r w:rsidRPr="00C623D4">
        <w:rPr>
          <w:rFonts w:ascii="Arial" w:hAnsi="Arial" w:cs="Arial"/>
          <w:color w:val="333333"/>
          <w:sz w:val="16"/>
          <w:szCs w:val="16"/>
          <w:shd w:val="clear" w:color="auto" w:fill="FFFFFF"/>
        </w:rPr>
        <w:t>YouTube: </w:t>
      </w:r>
      <w:hyperlink r:id="rId5" w:tgtFrame="_blank" w:history="1">
        <w:r w:rsidRPr="00C623D4">
          <w:rPr>
            <w:rStyle w:val="Hipervnculo"/>
            <w:rFonts w:ascii="Arial" w:hAnsi="Arial" w:cs="Arial"/>
            <w:color w:val="0069A6"/>
            <w:sz w:val="16"/>
            <w:szCs w:val="16"/>
            <w:shd w:val="clear" w:color="auto" w:fill="FFFFFF"/>
          </w:rPr>
          <w:t>https://www.youtube.com/channel/UCyIYRdx196IH55Do6PVMzXA</w:t>
        </w:r>
      </w:hyperlink>
    </w:p>
    <w:p w:rsidR="005C2C87" w:rsidRDefault="005C2C87" w:rsidP="009153FE">
      <w:pPr>
        <w:spacing w:after="0"/>
        <w:jc w:val="center"/>
        <w:rPr>
          <w:rFonts w:ascii="Bahnschrift" w:eastAsia="Bahnschrift" w:hAnsi="Bahnschrift" w:cs="Bahnschrift"/>
          <w:b/>
          <w:bCs/>
          <w:color w:val="336699"/>
          <w:sz w:val="40"/>
          <w:szCs w:val="40"/>
          <w:lang w:eastAsia="es-419"/>
        </w:rPr>
      </w:pPr>
      <w:r w:rsidRPr="005C2C87">
        <w:rPr>
          <w:rFonts w:ascii="Bahnschrift" w:eastAsia="Bahnschrift" w:hAnsi="Bahnschrift" w:cs="Bahnschrift"/>
          <w:color w:val="336699"/>
          <w:sz w:val="40"/>
          <w:szCs w:val="40"/>
          <w:lang w:eastAsia="es-419"/>
        </w:rPr>
        <w:t>"</w:t>
      </w:r>
      <w:r w:rsidRPr="005C2C87">
        <w:rPr>
          <w:rFonts w:ascii="Bahnschrift" w:eastAsia="Bahnschrift" w:hAnsi="Bahnschrift" w:cs="Bahnschrift"/>
          <w:b/>
          <w:bCs/>
          <w:color w:val="336699"/>
          <w:sz w:val="40"/>
          <w:szCs w:val="40"/>
          <w:lang w:eastAsia="es-419"/>
        </w:rPr>
        <w:t xml:space="preserve">Síntesis, estudio y aplicaciones de </w:t>
      </w:r>
    </w:p>
    <w:p w:rsidR="00A453EB" w:rsidRPr="009D3355" w:rsidRDefault="005C2C87" w:rsidP="00A453EB">
      <w:pPr>
        <w:jc w:val="center"/>
        <w:rPr>
          <w:rFonts w:ascii="Bahnschrift" w:eastAsia="Bahnschrift" w:hAnsi="Bahnschrift" w:cs="Bahnschrift"/>
          <w:color w:val="336699"/>
          <w:lang w:val="es-419" w:eastAsia="es-419"/>
        </w:rPr>
      </w:pPr>
      <w:r w:rsidRPr="005C2C87">
        <w:rPr>
          <w:rFonts w:ascii="Bahnschrift" w:eastAsia="Bahnschrift" w:hAnsi="Bahnschrift" w:cs="Bahnschrift"/>
          <w:b/>
          <w:bCs/>
          <w:color w:val="336699"/>
          <w:sz w:val="40"/>
          <w:szCs w:val="40"/>
          <w:lang w:eastAsia="es-419"/>
        </w:rPr>
        <w:t>1,3-</w:t>
      </w:r>
      <w:proofErr w:type="gramStart"/>
      <w:r w:rsidRPr="005C2C87">
        <w:rPr>
          <w:rFonts w:ascii="Bahnschrift" w:eastAsia="Bahnschrift" w:hAnsi="Bahnschrift" w:cs="Bahnschrift"/>
          <w:b/>
          <w:bCs/>
          <w:i/>
          <w:iCs/>
          <w:color w:val="336699"/>
          <w:sz w:val="40"/>
          <w:szCs w:val="40"/>
          <w:lang w:eastAsia="es-419"/>
        </w:rPr>
        <w:t>N</w:t>
      </w:r>
      <w:r w:rsidRPr="005C2C87">
        <w:rPr>
          <w:rFonts w:ascii="Bahnschrift" w:eastAsia="Bahnschrift" w:hAnsi="Bahnschrift" w:cs="Bahnschrift"/>
          <w:b/>
          <w:bCs/>
          <w:color w:val="336699"/>
          <w:sz w:val="40"/>
          <w:szCs w:val="40"/>
          <w:lang w:eastAsia="es-419"/>
        </w:rPr>
        <w:t>,</w:t>
      </w:r>
      <w:r w:rsidRPr="005C2C87">
        <w:rPr>
          <w:rFonts w:ascii="Bahnschrift" w:eastAsia="Bahnschrift" w:hAnsi="Bahnschrift" w:cs="Bahnschrift"/>
          <w:b/>
          <w:bCs/>
          <w:i/>
          <w:iCs/>
          <w:color w:val="336699"/>
          <w:sz w:val="40"/>
          <w:szCs w:val="40"/>
          <w:lang w:eastAsia="es-419"/>
        </w:rPr>
        <w:t>X</w:t>
      </w:r>
      <w:proofErr w:type="gramEnd"/>
      <w:r w:rsidRPr="005C2C87">
        <w:rPr>
          <w:rFonts w:ascii="Bahnschrift" w:eastAsia="Bahnschrift" w:hAnsi="Bahnschrift" w:cs="Bahnschrift"/>
          <w:b/>
          <w:bCs/>
          <w:color w:val="336699"/>
          <w:sz w:val="40"/>
          <w:szCs w:val="40"/>
          <w:lang w:eastAsia="es-419"/>
        </w:rPr>
        <w:t>-heterociclos y compuestos relacionados</w:t>
      </w:r>
      <w:r w:rsidRPr="005C2C87">
        <w:rPr>
          <w:rFonts w:ascii="Bahnschrift" w:eastAsia="Bahnschrift" w:hAnsi="Bahnschrift" w:cs="Bahnschrift"/>
          <w:color w:val="336699"/>
          <w:sz w:val="40"/>
          <w:szCs w:val="40"/>
          <w:lang w:eastAsia="es-419"/>
        </w:rPr>
        <w:t>".</w:t>
      </w:r>
    </w:p>
    <w:p w:rsidR="005C2C87" w:rsidRDefault="005C2C87" w:rsidP="00C623D4">
      <w:pPr>
        <w:spacing w:after="5"/>
        <w:ind w:right="146"/>
        <w:jc w:val="center"/>
        <w:rPr>
          <w:rFonts w:ascii="Bahnschrift" w:eastAsia="Bahnschrift" w:hAnsi="Bahnschrift" w:cs="Bahnschrift"/>
          <w:b/>
          <w:color w:val="000000"/>
          <w:sz w:val="52"/>
          <w:szCs w:val="52"/>
          <w:lang w:val="es-419" w:eastAsia="es-419"/>
        </w:rPr>
      </w:pPr>
      <w:r w:rsidRPr="005C2C87">
        <w:rPr>
          <w:rFonts w:ascii="Bahnschrift" w:eastAsia="Bahnschrift" w:hAnsi="Bahnschrift" w:cs="Bahnschrift"/>
          <w:b/>
          <w:bCs/>
          <w:color w:val="000000"/>
          <w:sz w:val="52"/>
          <w:szCs w:val="52"/>
          <w:lang w:eastAsia="es-419"/>
        </w:rPr>
        <w:t>Dra</w:t>
      </w:r>
      <w:r>
        <w:rPr>
          <w:rFonts w:ascii="Bahnschrift" w:eastAsia="Bahnschrift" w:hAnsi="Bahnschrift" w:cs="Bahnschrift"/>
          <w:b/>
          <w:bCs/>
          <w:color w:val="000000"/>
          <w:sz w:val="52"/>
          <w:szCs w:val="52"/>
          <w:lang w:eastAsia="es-419"/>
        </w:rPr>
        <w:t>.</w:t>
      </w:r>
      <w:r w:rsidRPr="005C2C87">
        <w:rPr>
          <w:rFonts w:ascii="Bahnschrift" w:eastAsia="Bahnschrift" w:hAnsi="Bahnschrift" w:cs="Bahnschrift"/>
          <w:b/>
          <w:bCs/>
          <w:color w:val="000000"/>
          <w:sz w:val="52"/>
          <w:szCs w:val="52"/>
          <w:lang w:eastAsia="es-419"/>
        </w:rPr>
        <w:t xml:space="preserve"> Liliana R. </w:t>
      </w:r>
      <w:proofErr w:type="spellStart"/>
      <w:r w:rsidRPr="005C2C87">
        <w:rPr>
          <w:rFonts w:ascii="Bahnschrift" w:eastAsia="Bahnschrift" w:hAnsi="Bahnschrift" w:cs="Bahnschrift"/>
          <w:b/>
          <w:bCs/>
          <w:color w:val="000000"/>
          <w:sz w:val="52"/>
          <w:szCs w:val="52"/>
          <w:lang w:eastAsia="es-419"/>
        </w:rPr>
        <w:t>Orelli</w:t>
      </w:r>
      <w:proofErr w:type="spellEnd"/>
    </w:p>
    <w:p w:rsidR="00AC516F" w:rsidRPr="00E64E15" w:rsidRDefault="005C2C87" w:rsidP="00AC516F">
      <w:pPr>
        <w:spacing w:after="5"/>
        <w:ind w:right="146"/>
        <w:jc w:val="center"/>
      </w:pPr>
      <w:r w:rsidRPr="00E64E15">
        <w:t>Facultad de Farmacia y Bioquímica, Universidad de Buenos Aires</w:t>
      </w:r>
    </w:p>
    <w:p w:rsidR="005C2C87" w:rsidRPr="00E64E15" w:rsidRDefault="005C2C87" w:rsidP="00AC516F">
      <w:pPr>
        <w:spacing w:after="5"/>
        <w:ind w:right="146"/>
        <w:jc w:val="center"/>
        <w:rPr>
          <w:rFonts w:ascii="Tahoma" w:hAnsi="Tahoma" w:cs="Tahoma"/>
        </w:rPr>
      </w:pPr>
    </w:p>
    <w:p w:rsidR="00E64E15" w:rsidRPr="009153FE" w:rsidRDefault="00E64E15" w:rsidP="00E64E1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153FE">
        <w:rPr>
          <w:sz w:val="20"/>
          <w:szCs w:val="20"/>
        </w:rPr>
        <w:t>“Los heterociclos nitrogenados son compuestos de interés por sus propiedades biológicas y múltiples aplicaciones farmacológicas. En los últimos años hemos desarrollado metodologías eficientes para la preparación de distintos 1,3-</w:t>
      </w:r>
      <w:proofErr w:type="gramStart"/>
      <w:r w:rsidRPr="009153FE">
        <w:rPr>
          <w:rStyle w:val="nfasis"/>
          <w:sz w:val="20"/>
          <w:szCs w:val="20"/>
        </w:rPr>
        <w:t>N</w:t>
      </w:r>
      <w:r w:rsidRPr="009153FE">
        <w:rPr>
          <w:sz w:val="20"/>
          <w:szCs w:val="20"/>
        </w:rPr>
        <w:t>,</w:t>
      </w:r>
      <w:r w:rsidRPr="009153FE">
        <w:rPr>
          <w:rStyle w:val="nfasis"/>
          <w:sz w:val="20"/>
          <w:szCs w:val="20"/>
        </w:rPr>
        <w:t>X</w:t>
      </w:r>
      <w:proofErr w:type="gramEnd"/>
      <w:r w:rsidRPr="009153FE">
        <w:rPr>
          <w:sz w:val="20"/>
          <w:szCs w:val="20"/>
        </w:rPr>
        <w:t xml:space="preserve">-heterociclos mediante reacciones de </w:t>
      </w:r>
      <w:proofErr w:type="spellStart"/>
      <w:r w:rsidRPr="009153FE">
        <w:rPr>
          <w:sz w:val="20"/>
          <w:szCs w:val="20"/>
        </w:rPr>
        <w:t>ciclización</w:t>
      </w:r>
      <w:proofErr w:type="spellEnd"/>
      <w:r w:rsidRPr="009153FE">
        <w:rPr>
          <w:sz w:val="20"/>
          <w:szCs w:val="20"/>
        </w:rPr>
        <w:t xml:space="preserve"> de los precursores adecuados, para los cuales también propusimos rutas sintéticas basadas en funcionalizaciones selectivas de compuestos asequibles. Las </w:t>
      </w:r>
      <w:proofErr w:type="spellStart"/>
      <w:r w:rsidRPr="009153FE">
        <w:rPr>
          <w:sz w:val="20"/>
          <w:szCs w:val="20"/>
        </w:rPr>
        <w:t>heterociclizaciones</w:t>
      </w:r>
      <w:proofErr w:type="spellEnd"/>
      <w:r w:rsidRPr="009153FE">
        <w:rPr>
          <w:sz w:val="20"/>
          <w:szCs w:val="20"/>
        </w:rPr>
        <w:t xml:space="preserve"> involucran el uso de ésteres del ácido </w:t>
      </w:r>
      <w:proofErr w:type="spellStart"/>
      <w:r w:rsidRPr="009153FE">
        <w:rPr>
          <w:sz w:val="20"/>
          <w:szCs w:val="20"/>
        </w:rPr>
        <w:t>polifosfórico</w:t>
      </w:r>
      <w:proofErr w:type="spellEnd"/>
      <w:r w:rsidRPr="009153FE">
        <w:rPr>
          <w:sz w:val="20"/>
          <w:szCs w:val="20"/>
        </w:rPr>
        <w:t xml:space="preserve">: </w:t>
      </w:r>
      <w:proofErr w:type="spellStart"/>
      <w:r w:rsidRPr="009153FE">
        <w:rPr>
          <w:sz w:val="20"/>
          <w:szCs w:val="20"/>
        </w:rPr>
        <w:t>polifosfato</w:t>
      </w:r>
      <w:proofErr w:type="spellEnd"/>
      <w:r w:rsidRPr="009153FE">
        <w:rPr>
          <w:sz w:val="20"/>
          <w:szCs w:val="20"/>
        </w:rPr>
        <w:t xml:space="preserve"> de etilo y de </w:t>
      </w:r>
      <w:proofErr w:type="spellStart"/>
      <w:r w:rsidRPr="009153FE">
        <w:rPr>
          <w:sz w:val="20"/>
          <w:szCs w:val="20"/>
        </w:rPr>
        <w:t>trimetilsililo</w:t>
      </w:r>
      <w:proofErr w:type="spellEnd"/>
      <w:r w:rsidRPr="009153FE">
        <w:rPr>
          <w:sz w:val="20"/>
          <w:szCs w:val="20"/>
        </w:rPr>
        <w:t xml:space="preserve"> (PPE, PPSE). Estos reactivos actúan como deshidratantes suaves e irreversibles del tipo ácidos de Lewis, activando funciones oxigenadas y nitrogenadas para el ataque </w:t>
      </w:r>
      <w:proofErr w:type="spellStart"/>
      <w:r w:rsidRPr="009153FE">
        <w:rPr>
          <w:sz w:val="20"/>
          <w:szCs w:val="20"/>
        </w:rPr>
        <w:t>nucleofílico</w:t>
      </w:r>
      <w:proofErr w:type="spellEnd"/>
      <w:r w:rsidRPr="009153FE">
        <w:rPr>
          <w:sz w:val="20"/>
          <w:szCs w:val="20"/>
        </w:rPr>
        <w:t xml:space="preserve">. Los mismos resultan versátiles, asequibles, de baja toxicidad y benignos desde el punto de vista ambiental. Estas metodologías proporcionaron acceso a distintos tipos de </w:t>
      </w:r>
      <w:proofErr w:type="spellStart"/>
      <w:r w:rsidRPr="009153FE">
        <w:rPr>
          <w:sz w:val="20"/>
          <w:szCs w:val="20"/>
        </w:rPr>
        <w:t>amidinas</w:t>
      </w:r>
      <w:proofErr w:type="spellEnd"/>
      <w:r w:rsidRPr="009153FE">
        <w:rPr>
          <w:sz w:val="20"/>
          <w:szCs w:val="20"/>
        </w:rPr>
        <w:t xml:space="preserve"> cíclicas y a heterociclos relevantes en síntesis orgánica como </w:t>
      </w:r>
      <w:proofErr w:type="spellStart"/>
      <w:r w:rsidRPr="009153FE">
        <w:rPr>
          <w:sz w:val="20"/>
          <w:szCs w:val="20"/>
        </w:rPr>
        <w:t>oxazolinas</w:t>
      </w:r>
      <w:proofErr w:type="spellEnd"/>
      <w:r w:rsidRPr="009153FE">
        <w:rPr>
          <w:sz w:val="20"/>
          <w:szCs w:val="20"/>
        </w:rPr>
        <w:t xml:space="preserve"> y, más recientemente, </w:t>
      </w:r>
      <w:proofErr w:type="spellStart"/>
      <w:r w:rsidRPr="009153FE">
        <w:rPr>
          <w:sz w:val="20"/>
          <w:szCs w:val="20"/>
        </w:rPr>
        <w:t>tiazolinas</w:t>
      </w:r>
      <w:proofErr w:type="spellEnd"/>
      <w:r w:rsidRPr="009153FE">
        <w:rPr>
          <w:sz w:val="20"/>
          <w:szCs w:val="20"/>
        </w:rPr>
        <w:t xml:space="preserve"> y sus homólogos. También empleando PPE/PPSE desarrollamos un método general para la obtención de quinazolin-4(3</w:t>
      </w:r>
      <w:r w:rsidRPr="009153FE">
        <w:rPr>
          <w:rStyle w:val="nfasis"/>
          <w:sz w:val="20"/>
          <w:szCs w:val="20"/>
        </w:rPr>
        <w:t>H</w:t>
      </w:r>
      <w:r w:rsidRPr="009153FE">
        <w:rPr>
          <w:sz w:val="20"/>
          <w:szCs w:val="20"/>
        </w:rPr>
        <w:t>)-</w:t>
      </w:r>
      <w:proofErr w:type="spellStart"/>
      <w:r w:rsidRPr="009153FE">
        <w:rPr>
          <w:sz w:val="20"/>
          <w:szCs w:val="20"/>
        </w:rPr>
        <w:t>iminas</w:t>
      </w:r>
      <w:proofErr w:type="spellEnd"/>
      <w:r w:rsidRPr="009153FE">
        <w:rPr>
          <w:sz w:val="20"/>
          <w:szCs w:val="20"/>
        </w:rPr>
        <w:t>, un núcleo heterocíclico interesante por sus propiedades químicas y biológicas.</w:t>
      </w:r>
    </w:p>
    <w:p w:rsidR="00E64E15" w:rsidRPr="009153FE" w:rsidRDefault="00E64E15" w:rsidP="00E64E1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153FE">
        <w:rPr>
          <w:sz w:val="20"/>
          <w:szCs w:val="20"/>
        </w:rPr>
        <w:br/>
        <w:t xml:space="preserve">En base de estudios previos, y dado nuestro interés por la estereoquímica de sistemas heterocíclicos con libre rotación impedida, estudiamos la estereodinámica de </w:t>
      </w:r>
      <w:r w:rsidRPr="009153FE">
        <w:rPr>
          <w:rStyle w:val="nfasis"/>
          <w:sz w:val="20"/>
          <w:szCs w:val="20"/>
        </w:rPr>
        <w:t>N</w:t>
      </w:r>
      <w:r w:rsidRPr="009153FE">
        <w:rPr>
          <w:sz w:val="20"/>
          <w:szCs w:val="20"/>
        </w:rPr>
        <w:t xml:space="preserve">-aril-2-iminoazaciclohexanos </w:t>
      </w:r>
      <w:proofErr w:type="spellStart"/>
      <w:r w:rsidRPr="009153FE">
        <w:rPr>
          <w:sz w:val="20"/>
          <w:szCs w:val="20"/>
        </w:rPr>
        <w:t>atropisoméricos</w:t>
      </w:r>
      <w:proofErr w:type="spellEnd"/>
      <w:r w:rsidRPr="009153FE">
        <w:rPr>
          <w:sz w:val="20"/>
          <w:szCs w:val="20"/>
        </w:rPr>
        <w:t xml:space="preserve"> y sus </w:t>
      </w:r>
      <w:proofErr w:type="spellStart"/>
      <w:r w:rsidRPr="009153FE">
        <w:rPr>
          <w:sz w:val="20"/>
          <w:szCs w:val="20"/>
        </w:rPr>
        <w:t>oxoanálogos</w:t>
      </w:r>
      <w:proofErr w:type="spellEnd"/>
      <w:r w:rsidRPr="009153FE">
        <w:rPr>
          <w:sz w:val="20"/>
          <w:szCs w:val="20"/>
        </w:rPr>
        <w:t xml:space="preserve">. El estudio </w:t>
      </w:r>
      <w:proofErr w:type="spellStart"/>
      <w:r w:rsidRPr="009153FE">
        <w:rPr>
          <w:sz w:val="20"/>
          <w:szCs w:val="20"/>
        </w:rPr>
        <w:t>estereoquímico</w:t>
      </w:r>
      <w:proofErr w:type="spellEnd"/>
      <w:r w:rsidRPr="009153FE">
        <w:rPr>
          <w:sz w:val="20"/>
          <w:szCs w:val="20"/>
        </w:rPr>
        <w:t xml:space="preserve"> se llevó a cabo mediante RMN dinámico y métodos DFT. Se investigó la influencia de los sustituyentes en posición 2 del </w:t>
      </w:r>
      <w:r w:rsidRPr="009153FE">
        <w:rPr>
          <w:rStyle w:val="nfasis"/>
          <w:sz w:val="20"/>
          <w:szCs w:val="20"/>
        </w:rPr>
        <w:t>N</w:t>
      </w:r>
      <w:r w:rsidRPr="009153FE">
        <w:rPr>
          <w:sz w:val="20"/>
          <w:szCs w:val="20"/>
        </w:rPr>
        <w:t xml:space="preserve">-arilo en ambos grupos de compuestos, evidenciándose un efecto del tamaño de anillo heterocíclico sobre las barreras de </w:t>
      </w:r>
      <w:proofErr w:type="spellStart"/>
      <w:r w:rsidRPr="009153FE">
        <w:rPr>
          <w:sz w:val="20"/>
          <w:szCs w:val="20"/>
        </w:rPr>
        <w:t>atropisomerización</w:t>
      </w:r>
      <w:proofErr w:type="spellEnd"/>
      <w:r w:rsidRPr="009153FE">
        <w:rPr>
          <w:sz w:val="20"/>
          <w:szCs w:val="20"/>
        </w:rPr>
        <w:t xml:space="preserve">. Adicionalmente, se determinó la barrera debida a isomería </w:t>
      </w:r>
      <w:r w:rsidRPr="009153FE">
        <w:rPr>
          <w:rStyle w:val="nfasis"/>
          <w:sz w:val="20"/>
          <w:szCs w:val="20"/>
        </w:rPr>
        <w:t>E/Z</w:t>
      </w:r>
      <w:r w:rsidRPr="009153FE">
        <w:rPr>
          <w:sz w:val="20"/>
          <w:szCs w:val="20"/>
        </w:rPr>
        <w:t xml:space="preserve"> del grupo NH y se estudió la inversión del anillo heterocíclico en un derivado de 7 eslabones.</w:t>
      </w:r>
    </w:p>
    <w:p w:rsidR="00E64E15" w:rsidRPr="009153FE" w:rsidRDefault="00E64E15" w:rsidP="00E64E15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153FE">
        <w:rPr>
          <w:sz w:val="20"/>
          <w:szCs w:val="20"/>
        </w:rPr>
        <w:br/>
        <w:t xml:space="preserve">En tercer término, estudiamos la aplicabilidad de algunas </w:t>
      </w:r>
      <w:proofErr w:type="spellStart"/>
      <w:r w:rsidRPr="009153FE">
        <w:rPr>
          <w:sz w:val="20"/>
          <w:szCs w:val="20"/>
        </w:rPr>
        <w:t>amidinas</w:t>
      </w:r>
      <w:proofErr w:type="spellEnd"/>
      <w:r w:rsidRPr="009153FE">
        <w:rPr>
          <w:sz w:val="20"/>
          <w:szCs w:val="20"/>
        </w:rPr>
        <w:t xml:space="preserve"> heterocíclicas como intermediarios sintéticos en la obtención de </w:t>
      </w:r>
      <w:r w:rsidRPr="009153FE">
        <w:rPr>
          <w:rStyle w:val="nfasis"/>
          <w:sz w:val="20"/>
          <w:szCs w:val="20"/>
        </w:rPr>
        <w:t>N</w:t>
      </w:r>
      <w:r w:rsidRPr="009153FE">
        <w:rPr>
          <w:sz w:val="20"/>
          <w:szCs w:val="20"/>
        </w:rPr>
        <w:t>-</w:t>
      </w:r>
      <w:proofErr w:type="spellStart"/>
      <w:r w:rsidRPr="009153FE">
        <w:rPr>
          <w:sz w:val="20"/>
          <w:szCs w:val="20"/>
        </w:rPr>
        <w:t>arilpoliaminas</w:t>
      </w:r>
      <w:proofErr w:type="spellEnd"/>
      <w:r w:rsidRPr="009153FE">
        <w:rPr>
          <w:sz w:val="20"/>
          <w:szCs w:val="20"/>
        </w:rPr>
        <w:t xml:space="preserve"> selectivamente N-sustituidas, análogas de los compuestos naturales </w:t>
      </w:r>
      <w:proofErr w:type="spellStart"/>
      <w:r w:rsidRPr="009153FE">
        <w:rPr>
          <w:sz w:val="20"/>
          <w:szCs w:val="20"/>
        </w:rPr>
        <w:t>espermina</w:t>
      </w:r>
      <w:proofErr w:type="spellEnd"/>
      <w:r w:rsidRPr="009153FE">
        <w:rPr>
          <w:sz w:val="20"/>
          <w:szCs w:val="20"/>
        </w:rPr>
        <w:t xml:space="preserve"> y </w:t>
      </w:r>
      <w:proofErr w:type="spellStart"/>
      <w:r w:rsidRPr="009153FE">
        <w:rPr>
          <w:sz w:val="20"/>
          <w:szCs w:val="20"/>
        </w:rPr>
        <w:t>espermidina</w:t>
      </w:r>
      <w:proofErr w:type="spellEnd"/>
      <w:r w:rsidRPr="009153FE">
        <w:rPr>
          <w:sz w:val="20"/>
          <w:szCs w:val="20"/>
        </w:rPr>
        <w:t xml:space="preserve">. Se realizaron estudios preliminares sobre una primera serie de </w:t>
      </w:r>
      <w:proofErr w:type="spellStart"/>
      <w:r w:rsidRPr="009153FE">
        <w:rPr>
          <w:sz w:val="20"/>
          <w:szCs w:val="20"/>
        </w:rPr>
        <w:t>triaminas</w:t>
      </w:r>
      <w:proofErr w:type="spellEnd"/>
      <w:r w:rsidRPr="009153FE">
        <w:rPr>
          <w:sz w:val="20"/>
          <w:szCs w:val="20"/>
        </w:rPr>
        <w:t xml:space="preserve">, algunas de los cuales evidenciaron actividad </w:t>
      </w:r>
      <w:proofErr w:type="spellStart"/>
      <w:r w:rsidRPr="009153FE">
        <w:rPr>
          <w:sz w:val="20"/>
          <w:szCs w:val="20"/>
        </w:rPr>
        <w:t>antileishmania</w:t>
      </w:r>
      <w:proofErr w:type="spellEnd"/>
      <w:r w:rsidRPr="009153FE">
        <w:rPr>
          <w:sz w:val="20"/>
          <w:szCs w:val="20"/>
        </w:rPr>
        <w:t xml:space="preserve"> </w:t>
      </w:r>
      <w:r w:rsidRPr="009153FE">
        <w:rPr>
          <w:rStyle w:val="nfasis"/>
          <w:sz w:val="20"/>
          <w:szCs w:val="20"/>
        </w:rPr>
        <w:t>in vitro</w:t>
      </w:r>
      <w:r w:rsidRPr="009153FE">
        <w:rPr>
          <w:sz w:val="20"/>
          <w:szCs w:val="20"/>
        </w:rPr>
        <w:t>.</w:t>
      </w:r>
    </w:p>
    <w:p w:rsidR="001A256A" w:rsidRPr="009153FE" w:rsidRDefault="00E64E15" w:rsidP="00E64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9153FE">
        <w:rPr>
          <w:sz w:val="20"/>
          <w:szCs w:val="20"/>
        </w:rPr>
        <w:br/>
        <w:t xml:space="preserve">Dentro de los núcleos heterocíclicos explorados, tienen especial interés por sus potenciales aplicaciones los </w:t>
      </w:r>
      <w:r w:rsidRPr="009153FE">
        <w:rPr>
          <w:rStyle w:val="nfasis"/>
          <w:sz w:val="20"/>
          <w:szCs w:val="20"/>
        </w:rPr>
        <w:t>N</w:t>
      </w:r>
      <w:r w:rsidRPr="009153FE">
        <w:rPr>
          <w:sz w:val="20"/>
          <w:szCs w:val="20"/>
        </w:rPr>
        <w:t xml:space="preserve">-óxidos de </w:t>
      </w:r>
      <w:proofErr w:type="spellStart"/>
      <w:r w:rsidRPr="009153FE">
        <w:rPr>
          <w:sz w:val="20"/>
          <w:szCs w:val="20"/>
        </w:rPr>
        <w:t>amidinoquinoxalinas</w:t>
      </w:r>
      <w:proofErr w:type="spellEnd"/>
      <w:r w:rsidRPr="009153FE">
        <w:rPr>
          <w:sz w:val="20"/>
          <w:szCs w:val="20"/>
        </w:rPr>
        <w:t xml:space="preserve">. Estas </w:t>
      </w:r>
      <w:proofErr w:type="spellStart"/>
      <w:r w:rsidRPr="009153FE">
        <w:rPr>
          <w:sz w:val="20"/>
          <w:szCs w:val="20"/>
        </w:rPr>
        <w:t>nitronas</w:t>
      </w:r>
      <w:proofErr w:type="spellEnd"/>
      <w:r w:rsidRPr="009153FE">
        <w:rPr>
          <w:sz w:val="20"/>
          <w:szCs w:val="20"/>
        </w:rPr>
        <w:t xml:space="preserve"> tienen la capacidad de comportarse como </w:t>
      </w:r>
      <w:proofErr w:type="spellStart"/>
      <w:r w:rsidRPr="009153FE">
        <w:rPr>
          <w:sz w:val="20"/>
          <w:szCs w:val="20"/>
        </w:rPr>
        <w:t>atrapadores</w:t>
      </w:r>
      <w:proofErr w:type="spellEnd"/>
      <w:r w:rsidRPr="009153FE">
        <w:rPr>
          <w:sz w:val="20"/>
          <w:szCs w:val="20"/>
        </w:rPr>
        <w:t xml:space="preserve"> de spin novedosos de radicales centrados en C y O, entre los cuales se encuentran ejemplos representativos de especies reactivas de oxígeno (ROS), y fueron evaluadas como antioxidantes. Por otra parte, algunos de estos heterociclos demostraron muy buena actividad contra microorganismos anaerobios, junto con baja citotoxicidad y perfiles ADME adecuados. Los mismos presentan potencial aplicación como drogas alternativas al </w:t>
      </w:r>
      <w:proofErr w:type="spellStart"/>
      <w:r w:rsidRPr="009153FE">
        <w:rPr>
          <w:sz w:val="20"/>
          <w:szCs w:val="20"/>
        </w:rPr>
        <w:t>metronidazol</w:t>
      </w:r>
      <w:proofErr w:type="spellEnd"/>
      <w:r w:rsidRPr="009153FE">
        <w:rPr>
          <w:sz w:val="20"/>
          <w:szCs w:val="20"/>
        </w:rPr>
        <w:t xml:space="preserve"> para cepas resistentes a esta droga de referencia.”</w:t>
      </w:r>
    </w:p>
    <w:sectPr w:rsidR="001A256A" w:rsidRPr="009153FE" w:rsidSect="009153FE">
      <w:pgSz w:w="12240" w:h="15840"/>
      <w:pgMar w:top="1440" w:right="1080" w:bottom="1440" w:left="1080" w:header="708" w:footer="708" w:gutter="0"/>
      <w:pgBorders w:offsetFrom="page">
        <w:top w:val="threeDEmboss" w:sz="24" w:space="24" w:color="336699"/>
        <w:left w:val="threeDEmboss" w:sz="24" w:space="24" w:color="336699"/>
        <w:bottom w:val="threeDEngrave" w:sz="24" w:space="24" w:color="336699"/>
        <w:right w:val="threeDEngrave" w:sz="24" w:space="24" w:color="33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A"/>
    <w:rsid w:val="000905E8"/>
    <w:rsid w:val="000C51FA"/>
    <w:rsid w:val="001312B9"/>
    <w:rsid w:val="001A256A"/>
    <w:rsid w:val="001F4E71"/>
    <w:rsid w:val="002E2491"/>
    <w:rsid w:val="00347774"/>
    <w:rsid w:val="00352C4C"/>
    <w:rsid w:val="003B2A13"/>
    <w:rsid w:val="00407C6E"/>
    <w:rsid w:val="004A62E1"/>
    <w:rsid w:val="005C2C87"/>
    <w:rsid w:val="00600FC7"/>
    <w:rsid w:val="00637DF0"/>
    <w:rsid w:val="009153FE"/>
    <w:rsid w:val="009C3001"/>
    <w:rsid w:val="009D3355"/>
    <w:rsid w:val="00A453EB"/>
    <w:rsid w:val="00AC516F"/>
    <w:rsid w:val="00BE7E82"/>
    <w:rsid w:val="00C26046"/>
    <w:rsid w:val="00C623D4"/>
    <w:rsid w:val="00E64E15"/>
    <w:rsid w:val="00E65C1A"/>
    <w:rsid w:val="00ED512D"/>
    <w:rsid w:val="00F30476"/>
    <w:rsid w:val="00F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130C-AA79-4808-9364-9D1E10FA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E82"/>
    <w:rPr>
      <w:rFonts w:ascii="Segoe UI" w:hAnsi="Segoe UI" w:cs="Segoe UI"/>
      <w:sz w:val="18"/>
      <w:szCs w:val="18"/>
      <w:lang w:val="es-AR"/>
    </w:rPr>
  </w:style>
  <w:style w:type="character" w:styleId="Textoennegrita">
    <w:name w:val="Strong"/>
    <w:basedOn w:val="Fuentedeprrafopredeter"/>
    <w:uiPriority w:val="22"/>
    <w:qFormat/>
    <w:rsid w:val="00C623D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623D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C2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yIYRdx196IH55Do6PVMzXA" TargetMode="External"/><Relationship Id="rId4" Type="http://schemas.openxmlformats.org/officeDocument/2006/relationships/hyperlink" Target="https://zoom.us/my/qo.aula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Emilia Cano</dc:creator>
  <cp:keywords/>
  <dc:description/>
  <cp:lastModifiedBy>FCEyN</cp:lastModifiedBy>
  <cp:revision>2</cp:revision>
  <cp:lastPrinted>2023-08-24T14:25:00Z</cp:lastPrinted>
  <dcterms:created xsi:type="dcterms:W3CDTF">2023-08-24T17:04:00Z</dcterms:created>
  <dcterms:modified xsi:type="dcterms:W3CDTF">2023-08-24T17:04:00Z</dcterms:modified>
</cp:coreProperties>
</file>